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00"/>
        <w:jc w:val="center"/>
      </w:pPr>
      <w:r>
        <w:drawing>
          <wp:inline distT="0" distB="0" distL="0" distR="0">
            <wp:extent cx="4762500" cy="23812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4762500" cy="2381250"/>
                    </a:xfrm>
                    <a:prstGeom prst="rect">
                      <a:avLst/>
                    </a:prstGeom>
                  </pic:spPr>
                </pic:pic>
              </a:graphicData>
            </a:graphic>
          </wp:inline>
        </w:drawing>
      </w:r>
    </w:p>
    <w:p>
      <w:pPr>
        <w:pStyle w:val="Title"/>
        <w:spacing w:after="100"/>
      </w:pPr>
      <w:r>
        <w:rPr>
          <w:b/>
          <w:bCs/>
          <w:color w:val="0A4D47"/>
        </w:rPr>
        <w:t xml:space="preserve">Can Molecular Structure Alone Predict Drug-Target Binding Affinity?</w:t>
      </w:r>
    </w:p>
    <w:p>
      <w:pPr>
        <w:spacing w:after="300"/>
      </w:pPr>
      <w:r>
        <w:rPr>
          <w:i/>
          <w:iCs/>
          <w:color w:val="555555"/>
        </w:rPr>
        <w:t xml:space="preserve">Exploring whether molecular descriptors can predict binding affinity between drug candidates and kinase proteins.</w:t>
      </w:r>
    </w:p>
    <w:p>
      <w:pPr>
        <w:pStyle w:val="Heading2"/>
        <w:spacing w:after="120" w:before="300"/>
      </w:pPr>
      <w:r>
        <w:rPr>
          <w:b/>
          <w:bCs/>
          <w:color w:val="0A4D47"/>
        </w:rPr>
        <w:t xml:space="preserve">Introduction</w:t>
      </w:r>
    </w:p>
    <w:p>
      <w:pPr>
        <w:spacing w:after="160"/>
      </w:pPr>
      <w:r>
        <w:t xml:space="preserve">Before a drug candidate reaches clinical trials, one of the earliest questions is how strongly it binds to its target protein. This binding affinity is normally measured through laboratory assays, which are accurate but slow and expensive to run at scale.</w:t>
      </w:r>
    </w:p>
    <w:p>
      <w:pPr>
        <w:spacing w:after="160"/>
      </w:pPr>
      <w:r>
        <w:t xml:space="preserve">This project explores whether binding affinity can instead be estimated from a molecule's own structural properties — molecular weight, LogP, polar surface area, and similar descriptors — without any experimental measurement. As a chemistry graduate, I was interested in how far purely structural information could go in explaining a property that is normally measured experimentally.</w:t>
      </w:r>
    </w:p>
    <w:p>
      <w:pPr>
        <w:spacing w:after="160"/>
      </w:pPr>
      <w:r>
        <w:t xml:space="preserve">The analysis was limited to kinase proteins, a widely studied drug target family, to keep the dataset biologically consistent.</w:t>
      </w:r>
    </w:p>
    <w:p>
      <w:pPr>
        <w:pStyle w:val="Heading2"/>
        <w:spacing w:after="120" w:before="300"/>
      </w:pPr>
      <w:r>
        <w:rPr>
          <w:b/>
          <w:bCs/>
          <w:color w:val="0A4D47"/>
        </w:rPr>
        <w:t xml:space="preserve">Dataset</w:t>
      </w:r>
    </w:p>
    <w:p>
      <w:pPr>
        <w:spacing w:after="160"/>
      </w:pPr>
      <w:r>
        <w:t xml:space="preserve">The dataset was built from three public sources: BindingDB, Davis, and KIBA. BindingDB and Davis provided experimentally measured binding values (Ki, IC50, and Kd), which were converted to a common pKi scale. KIBA was excluded, since it uses a different composite scoring system that is not directly comparable to the other two.</w:t>
      </w:r>
    </w:p>
    <w:p>
      <w:pPr>
        <w:spacing w:after="160"/>
      </w:pPr>
      <w:r>
        <w:t xml:space="preserve">Six molecular descriptors were computed for each compound using RDKit: molecular weight (MW), LogP, topological polar surface area (TPSA), hydrogen bond donor count (HBD), hydrogen bond acceptor count (HBA), and rotatable bond count (RotBonds).</w:t>
      </w:r>
    </w:p>
    <w:p>
      <w:pPr>
        <w:spacing w:after="160"/>
      </w:pPr>
      <w:r>
        <w:t xml:space="preserve">After cleaning and removing duplicate measurements, the final dataset contained 539,218 molecule-protein pairs across 1,573 unique proteins.</w:t>
      </w:r>
    </w:p>
    <w:p>
      <w:pPr>
        <w:pStyle w:val="Heading2"/>
        <w:spacing w:after="120" w:before="300"/>
      </w:pPr>
      <w:r>
        <w:rPr>
          <w:b/>
          <w:bCs/>
          <w:color w:val="0A4D47"/>
        </w:rPr>
        <w:t xml:space="preserve">Analysis</w:t>
      </w:r>
    </w:p>
    <w:p>
      <w:pPr>
        <w:spacing w:after="160"/>
      </w:pPr>
      <w:r>
        <w:t xml:space="preserve">The distribution of pKi values showed two noticeable spikes, at 5.0 and 7.0. Checking these by source showed that the spike at 5.0 came mostly from the Davis dataset, where any interaction below the assay's detection threshold is assigned a floor value of pKd = 5.0 rather than an actual measurement.</w:t>
      </w:r>
    </w:p>
    <w:p>
      <w:pPr>
        <w:spacing w:after="160"/>
      </w:pPr>
      <w:r>
        <w:t xml:space="preserve">Since pKi was not normally distributed (Shapiro-Wilk test, p ≈ 0), non-parametric methods were used for hypothesis testing: Spearman correlation for each descriptor against pKi, and a Kruskal-Wallis test comparing pKi across protein targets.</w:t>
      </w:r>
    </w:p>
    <w:p>
      <w:pPr>
        <w:spacing w:after="160"/>
      </w:pPr>
      <w:r>
        <w:t xml:space="preserve">MW, TPSA, and HBA each showed weak but statistically significant correlations with pKi (ρ ≈ 0.20). LogP showed almost no correlation (ρ = 0.01). One result went against the initial hypothesis: TPSA was expected to correlate negatively with pKi, but the relationship was weakly positive instead. The comparison across protein targets was the strongest result by far (Kruskal-Wallis H = 12,322, p ≈ 0), indicating that protein identity has a substantial effect on binding affinity.</w:t>
      </w:r>
    </w:p>
    <w:p>
      <w:pPr>
        <w:pStyle w:val="Heading2"/>
        <w:spacing w:after="120" w:before="300"/>
      </w:pPr>
      <w:r>
        <w:rPr>
          <w:b/>
          <w:bCs/>
          <w:color w:val="0A4D47"/>
        </w:rPr>
        <w:t xml:space="preserve">Results</w:t>
      </w:r>
    </w:p>
    <w:p>
      <w:pPr>
        <w:spacing w:after="160"/>
      </w:pPr>
      <w:r>
        <w:t xml:space="preserve">Six regression models were trained on the six molecular descriptors: Linear Regression, Ridge, Lasso, Decision Tree, Random Forest, and Gradient Boosting, using an 80/20 train-test split.</w:t>
      </w:r>
    </w:p>
    <w:p>
      <w:pPr>
        <w:spacing w:after="200"/>
      </w:pPr>
    </w:p>
    <w:tbl>
      <w:tblPr>
        <w:tblW w:type="dxa" w:w="8000"/>
        <w:tblBorders>
          <w:top w:val="single" w:color="auto" w:sz="4"/>
          <w:left w:val="single" w:color="auto" w:sz="4"/>
          <w:bottom w:val="single" w:color="auto" w:sz="4"/>
          <w:right w:val="single" w:color="auto" w:sz="4"/>
          <w:insideH w:val="single" w:color="auto" w:sz="4"/>
          <w:insideV w:val="single" w:color="auto" w:sz="4"/>
        </w:tblBorders>
      </w:tblPr>
      <w:tblGrid>
        <w:gridCol w:w="2600"/>
        <w:gridCol w:w="1800"/>
        <w:gridCol w:w="1800"/>
        <w:gridCol w:w="1800"/>
      </w:tblGrid>
      <w:tr>
        <w:trPr>
          <w:tblHeader/>
        </w:trPr>
        <w:tc>
          <w:tcPr>
            <w:tcW w:type="dxa" w:w="2600"/>
            <w:shd w:fill="DCEEE9" w:val="clear"/>
            <w:tcMar>
              <w:top w:type="dxa" w:w="80"/>
              <w:left w:type="dxa" w:w="120"/>
              <w:bottom w:type="dxa" w:w="80"/>
              <w:right w:type="dxa" w:w="120"/>
            </w:tcMar>
            <w:vAlign w:val="center"/>
          </w:tcPr>
          <w:p>
            <w:r>
              <w:rPr>
                <w:b/>
                <w:bCs/>
              </w:rPr>
              <w:t xml:space="preserve">Model</w:t>
            </w:r>
          </w:p>
        </w:tc>
        <w:tc>
          <w:tcPr>
            <w:tcW w:type="dxa" w:w="1800"/>
            <w:shd w:fill="DCEEE9" w:val="clear"/>
            <w:tcMar>
              <w:top w:type="dxa" w:w="80"/>
              <w:left w:type="dxa" w:w="120"/>
              <w:bottom w:type="dxa" w:w="80"/>
              <w:right w:type="dxa" w:w="120"/>
            </w:tcMar>
            <w:vAlign w:val="center"/>
          </w:tcPr>
          <w:p>
            <w:r>
              <w:rPr>
                <w:b/>
                <w:bCs/>
              </w:rPr>
              <w:t xml:space="preserve">Test R²</w:t>
            </w:r>
          </w:p>
        </w:tc>
        <w:tc>
          <w:tcPr>
            <w:tcW w:type="dxa" w:w="1800"/>
            <w:shd w:fill="DCEEE9" w:val="clear"/>
            <w:tcMar>
              <w:top w:type="dxa" w:w="80"/>
              <w:left w:type="dxa" w:w="120"/>
              <w:bottom w:type="dxa" w:w="80"/>
              <w:right w:type="dxa" w:w="120"/>
            </w:tcMar>
            <w:vAlign w:val="center"/>
          </w:tcPr>
          <w:p>
            <w:r>
              <w:rPr>
                <w:b/>
                <w:bCs/>
              </w:rPr>
              <w:t xml:space="preserve">RMSE</w:t>
            </w:r>
          </w:p>
        </w:tc>
        <w:tc>
          <w:tcPr>
            <w:tcW w:type="dxa" w:w="1800"/>
            <w:shd w:fill="DCEEE9" w:val="clear"/>
            <w:tcMar>
              <w:top w:type="dxa" w:w="80"/>
              <w:left w:type="dxa" w:w="120"/>
              <w:bottom w:type="dxa" w:w="80"/>
              <w:right w:type="dxa" w:w="120"/>
            </w:tcMar>
            <w:vAlign w:val="center"/>
          </w:tcPr>
          <w:p>
            <w:r>
              <w:rPr>
                <w:b/>
                <w:bCs/>
              </w:rPr>
              <w:t xml:space="preserve">MAE</w:t>
            </w:r>
          </w:p>
        </w:tc>
      </w:tr>
      <w:tr>
        <w:tc>
          <w:tcPr>
            <w:tcW w:type="dxa" w:w="2600"/>
            <w:tcMar>
              <w:top w:type="dxa" w:w="80"/>
              <w:left w:type="dxa" w:w="120"/>
              <w:bottom w:type="dxa" w:w="80"/>
              <w:right w:type="dxa" w:w="120"/>
            </w:tcMar>
            <w:vAlign w:val="center"/>
          </w:tcPr>
          <w:p>
            <w:r>
              <w:rPr>
                <w:b w:val="false"/>
                <w:bCs w:val="false"/>
              </w:rPr>
              <w:t xml:space="preserve">Random Forest</w:t>
            </w:r>
          </w:p>
        </w:tc>
        <w:tc>
          <w:tcPr>
            <w:tcW w:type="dxa" w:w="1800"/>
            <w:tcMar>
              <w:top w:type="dxa" w:w="80"/>
              <w:left w:type="dxa" w:w="120"/>
              <w:bottom w:type="dxa" w:w="80"/>
              <w:right w:type="dxa" w:w="120"/>
            </w:tcMar>
            <w:vAlign w:val="center"/>
          </w:tcPr>
          <w:p>
            <w:r>
              <w:rPr>
                <w:b w:val="false"/>
                <w:bCs w:val="false"/>
              </w:rPr>
              <w:t xml:space="preserve">0.517</w:t>
            </w:r>
          </w:p>
        </w:tc>
        <w:tc>
          <w:tcPr>
            <w:tcW w:type="dxa" w:w="1800"/>
            <w:tcMar>
              <w:top w:type="dxa" w:w="80"/>
              <w:left w:type="dxa" w:w="120"/>
              <w:bottom w:type="dxa" w:w="80"/>
              <w:right w:type="dxa" w:w="120"/>
            </w:tcMar>
            <w:vAlign w:val="center"/>
          </w:tcPr>
          <w:p>
            <w:r>
              <w:rPr>
                <w:b w:val="false"/>
                <w:bCs w:val="false"/>
              </w:rPr>
              <w:t xml:space="preserve">1.006</w:t>
            </w:r>
          </w:p>
        </w:tc>
        <w:tc>
          <w:tcPr>
            <w:tcW w:type="dxa" w:w="1800"/>
            <w:tcMar>
              <w:top w:type="dxa" w:w="80"/>
              <w:left w:type="dxa" w:w="120"/>
              <w:bottom w:type="dxa" w:w="80"/>
              <w:right w:type="dxa" w:w="120"/>
            </w:tcMar>
            <w:vAlign w:val="center"/>
          </w:tcPr>
          <w:p>
            <w:r>
              <w:rPr>
                <w:b w:val="false"/>
                <w:bCs w:val="false"/>
              </w:rPr>
              <w:t xml:space="preserve">0.743</w:t>
            </w:r>
          </w:p>
        </w:tc>
      </w:tr>
      <w:tr>
        <w:tc>
          <w:tcPr>
            <w:tcW w:type="dxa" w:w="2600"/>
            <w:tcMar>
              <w:top w:type="dxa" w:w="80"/>
              <w:left w:type="dxa" w:w="120"/>
              <w:bottom w:type="dxa" w:w="80"/>
              <w:right w:type="dxa" w:w="120"/>
            </w:tcMar>
            <w:vAlign w:val="center"/>
          </w:tcPr>
          <w:p>
            <w:r>
              <w:rPr>
                <w:b w:val="false"/>
                <w:bCs w:val="false"/>
              </w:rPr>
              <w:t xml:space="preserve">Decision Tree</w:t>
            </w:r>
          </w:p>
        </w:tc>
        <w:tc>
          <w:tcPr>
            <w:tcW w:type="dxa" w:w="1800"/>
            <w:tcMar>
              <w:top w:type="dxa" w:w="80"/>
              <w:left w:type="dxa" w:w="120"/>
              <w:bottom w:type="dxa" w:w="80"/>
              <w:right w:type="dxa" w:w="120"/>
            </w:tcMar>
            <w:vAlign w:val="center"/>
          </w:tcPr>
          <w:p>
            <w:r>
              <w:rPr>
                <w:b w:val="false"/>
                <w:bCs w:val="false"/>
              </w:rPr>
              <w:t xml:space="preserve">0.334</w:t>
            </w:r>
          </w:p>
        </w:tc>
        <w:tc>
          <w:tcPr>
            <w:tcW w:type="dxa" w:w="1800"/>
            <w:tcMar>
              <w:top w:type="dxa" w:w="80"/>
              <w:left w:type="dxa" w:w="120"/>
              <w:bottom w:type="dxa" w:w="80"/>
              <w:right w:type="dxa" w:w="120"/>
            </w:tcMar>
            <w:vAlign w:val="center"/>
          </w:tcPr>
          <w:p>
            <w:r>
              <w:rPr>
                <w:b w:val="false"/>
                <w:bCs w:val="false"/>
              </w:rPr>
              <w:t xml:space="preserve">1.182</w:t>
            </w:r>
          </w:p>
        </w:tc>
        <w:tc>
          <w:tcPr>
            <w:tcW w:type="dxa" w:w="1800"/>
            <w:tcMar>
              <w:top w:type="dxa" w:w="80"/>
              <w:left w:type="dxa" w:w="120"/>
              <w:bottom w:type="dxa" w:w="80"/>
              <w:right w:type="dxa" w:w="120"/>
            </w:tcMar>
            <w:vAlign w:val="center"/>
          </w:tcPr>
          <w:p>
            <w:r>
              <w:rPr>
                <w:b w:val="false"/>
                <w:bCs w:val="false"/>
              </w:rPr>
              <w:t xml:space="preserve">0.826</w:t>
            </w:r>
          </w:p>
        </w:tc>
      </w:tr>
      <w:tr>
        <w:tc>
          <w:tcPr>
            <w:tcW w:type="dxa" w:w="2600"/>
            <w:tcMar>
              <w:top w:type="dxa" w:w="80"/>
              <w:left w:type="dxa" w:w="120"/>
              <w:bottom w:type="dxa" w:w="80"/>
              <w:right w:type="dxa" w:w="120"/>
            </w:tcMar>
            <w:vAlign w:val="center"/>
          </w:tcPr>
          <w:p>
            <w:r>
              <w:rPr>
                <w:b w:val="false"/>
                <w:bCs w:val="false"/>
              </w:rPr>
              <w:t xml:space="preserve">Gradient Boosting</w:t>
            </w:r>
          </w:p>
        </w:tc>
        <w:tc>
          <w:tcPr>
            <w:tcW w:type="dxa" w:w="1800"/>
            <w:tcMar>
              <w:top w:type="dxa" w:w="80"/>
              <w:left w:type="dxa" w:w="120"/>
              <w:bottom w:type="dxa" w:w="80"/>
              <w:right w:type="dxa" w:w="120"/>
            </w:tcMar>
            <w:vAlign w:val="center"/>
          </w:tcPr>
          <w:p>
            <w:r>
              <w:rPr>
                <w:b w:val="false"/>
                <w:bCs w:val="false"/>
              </w:rPr>
              <w:t xml:space="preserve">0.149</w:t>
            </w:r>
          </w:p>
        </w:tc>
        <w:tc>
          <w:tcPr>
            <w:tcW w:type="dxa" w:w="1800"/>
            <w:tcMar>
              <w:top w:type="dxa" w:w="80"/>
              <w:left w:type="dxa" w:w="120"/>
              <w:bottom w:type="dxa" w:w="80"/>
              <w:right w:type="dxa" w:w="120"/>
            </w:tcMar>
            <w:vAlign w:val="center"/>
          </w:tcPr>
          <w:p>
            <w:r>
              <w:rPr>
                <w:b w:val="false"/>
                <w:bCs w:val="false"/>
              </w:rPr>
              <w:t xml:space="preserve">1.336</w:t>
            </w:r>
          </w:p>
        </w:tc>
        <w:tc>
          <w:tcPr>
            <w:tcW w:type="dxa" w:w="1800"/>
            <w:tcMar>
              <w:top w:type="dxa" w:w="80"/>
              <w:left w:type="dxa" w:w="120"/>
              <w:bottom w:type="dxa" w:w="80"/>
              <w:right w:type="dxa" w:w="120"/>
            </w:tcMar>
            <w:vAlign w:val="center"/>
          </w:tcPr>
          <w:p>
            <w:r>
              <w:rPr>
                <w:b w:val="false"/>
                <w:bCs w:val="false"/>
              </w:rPr>
              <w:t xml:space="preserve">1.090</w:t>
            </w:r>
          </w:p>
        </w:tc>
      </w:tr>
      <w:tr>
        <w:tc>
          <w:tcPr>
            <w:tcW w:type="dxa" w:w="2600"/>
            <w:tcMar>
              <w:top w:type="dxa" w:w="80"/>
              <w:left w:type="dxa" w:w="120"/>
              <w:bottom w:type="dxa" w:w="80"/>
              <w:right w:type="dxa" w:w="120"/>
            </w:tcMar>
            <w:vAlign w:val="center"/>
          </w:tcPr>
          <w:p>
            <w:r>
              <w:rPr>
                <w:b w:val="false"/>
                <w:bCs w:val="false"/>
              </w:rPr>
              <w:t xml:space="preserve">Linear Regression</w:t>
            </w:r>
          </w:p>
        </w:tc>
        <w:tc>
          <w:tcPr>
            <w:tcW w:type="dxa" w:w="1800"/>
            <w:tcMar>
              <w:top w:type="dxa" w:w="80"/>
              <w:left w:type="dxa" w:w="120"/>
              <w:bottom w:type="dxa" w:w="80"/>
              <w:right w:type="dxa" w:w="120"/>
            </w:tcMar>
            <w:vAlign w:val="center"/>
          </w:tcPr>
          <w:p>
            <w:r>
              <w:rPr>
                <w:b w:val="false"/>
                <w:bCs w:val="false"/>
              </w:rPr>
              <w:t xml:space="preserve">0.049</w:t>
            </w:r>
          </w:p>
        </w:tc>
        <w:tc>
          <w:tcPr>
            <w:tcW w:type="dxa" w:w="1800"/>
            <w:tcMar>
              <w:top w:type="dxa" w:w="80"/>
              <w:left w:type="dxa" w:w="120"/>
              <w:bottom w:type="dxa" w:w="80"/>
              <w:right w:type="dxa" w:w="120"/>
            </w:tcMar>
            <w:vAlign w:val="center"/>
          </w:tcPr>
          <w:p>
            <w:r>
              <w:rPr>
                <w:b w:val="false"/>
                <w:bCs w:val="false"/>
              </w:rPr>
              <w:t xml:space="preserve">1.413</w:t>
            </w:r>
          </w:p>
        </w:tc>
        <w:tc>
          <w:tcPr>
            <w:tcW w:type="dxa" w:w="1800"/>
            <w:tcMar>
              <w:top w:type="dxa" w:w="80"/>
              <w:left w:type="dxa" w:w="120"/>
              <w:bottom w:type="dxa" w:w="80"/>
              <w:right w:type="dxa" w:w="120"/>
            </w:tcMar>
            <w:vAlign w:val="center"/>
          </w:tcPr>
          <w:p>
            <w:r>
              <w:rPr>
                <w:b w:val="false"/>
                <w:bCs w:val="false"/>
              </w:rPr>
              <w:t xml:space="preserve">1.159</w:t>
            </w:r>
          </w:p>
        </w:tc>
      </w:tr>
      <w:tr>
        <w:tc>
          <w:tcPr>
            <w:tcW w:type="dxa" w:w="2600"/>
            <w:tcMar>
              <w:top w:type="dxa" w:w="80"/>
              <w:left w:type="dxa" w:w="120"/>
              <w:bottom w:type="dxa" w:w="80"/>
              <w:right w:type="dxa" w:w="120"/>
            </w:tcMar>
            <w:vAlign w:val="center"/>
          </w:tcPr>
          <w:p>
            <w:r>
              <w:rPr>
                <w:b w:val="false"/>
                <w:bCs w:val="false"/>
              </w:rPr>
              <w:t xml:space="preserve">Ridge</w:t>
            </w:r>
          </w:p>
        </w:tc>
        <w:tc>
          <w:tcPr>
            <w:tcW w:type="dxa" w:w="1800"/>
            <w:tcMar>
              <w:top w:type="dxa" w:w="80"/>
              <w:left w:type="dxa" w:w="120"/>
              <w:bottom w:type="dxa" w:w="80"/>
              <w:right w:type="dxa" w:w="120"/>
            </w:tcMar>
            <w:vAlign w:val="center"/>
          </w:tcPr>
          <w:p>
            <w:r>
              <w:rPr>
                <w:b w:val="false"/>
                <w:bCs w:val="false"/>
              </w:rPr>
              <w:t xml:space="preserve">0.049</w:t>
            </w:r>
          </w:p>
        </w:tc>
        <w:tc>
          <w:tcPr>
            <w:tcW w:type="dxa" w:w="1800"/>
            <w:tcMar>
              <w:top w:type="dxa" w:w="80"/>
              <w:left w:type="dxa" w:w="120"/>
              <w:bottom w:type="dxa" w:w="80"/>
              <w:right w:type="dxa" w:w="120"/>
            </w:tcMar>
            <w:vAlign w:val="center"/>
          </w:tcPr>
          <w:p>
            <w:r>
              <w:rPr>
                <w:b w:val="false"/>
                <w:bCs w:val="false"/>
              </w:rPr>
              <w:t xml:space="preserve">1.413</w:t>
            </w:r>
          </w:p>
        </w:tc>
        <w:tc>
          <w:tcPr>
            <w:tcW w:type="dxa" w:w="1800"/>
            <w:tcMar>
              <w:top w:type="dxa" w:w="80"/>
              <w:left w:type="dxa" w:w="120"/>
              <w:bottom w:type="dxa" w:w="80"/>
              <w:right w:type="dxa" w:w="120"/>
            </w:tcMar>
            <w:vAlign w:val="center"/>
          </w:tcPr>
          <w:p>
            <w:r>
              <w:rPr>
                <w:b w:val="false"/>
                <w:bCs w:val="false"/>
              </w:rPr>
              <w:t xml:space="preserve">1.159</w:t>
            </w:r>
          </w:p>
        </w:tc>
      </w:tr>
      <w:tr>
        <w:tc>
          <w:tcPr>
            <w:tcW w:type="dxa" w:w="2600"/>
            <w:tcMar>
              <w:top w:type="dxa" w:w="80"/>
              <w:left w:type="dxa" w:w="120"/>
              <w:bottom w:type="dxa" w:w="80"/>
              <w:right w:type="dxa" w:w="120"/>
            </w:tcMar>
            <w:vAlign w:val="center"/>
          </w:tcPr>
          <w:p>
            <w:r>
              <w:rPr>
                <w:b w:val="false"/>
                <w:bCs w:val="false"/>
              </w:rPr>
              <w:t xml:space="preserve">Lasso</w:t>
            </w:r>
          </w:p>
        </w:tc>
        <w:tc>
          <w:tcPr>
            <w:tcW w:type="dxa" w:w="1800"/>
            <w:tcMar>
              <w:top w:type="dxa" w:w="80"/>
              <w:left w:type="dxa" w:w="120"/>
              <w:bottom w:type="dxa" w:w="80"/>
              <w:right w:type="dxa" w:w="120"/>
            </w:tcMar>
            <w:vAlign w:val="center"/>
          </w:tcPr>
          <w:p>
            <w:r>
              <w:rPr>
                <w:b w:val="false"/>
                <w:bCs w:val="false"/>
              </w:rPr>
              <w:t xml:space="preserve">0.048</w:t>
            </w:r>
          </w:p>
        </w:tc>
        <w:tc>
          <w:tcPr>
            <w:tcW w:type="dxa" w:w="1800"/>
            <w:tcMar>
              <w:top w:type="dxa" w:w="80"/>
              <w:left w:type="dxa" w:w="120"/>
              <w:bottom w:type="dxa" w:w="80"/>
              <w:right w:type="dxa" w:w="120"/>
            </w:tcMar>
            <w:vAlign w:val="center"/>
          </w:tcPr>
          <w:p>
            <w:r>
              <w:rPr>
                <w:b w:val="false"/>
                <w:bCs w:val="false"/>
              </w:rPr>
              <w:t xml:space="preserve">1.413</w:t>
            </w:r>
          </w:p>
        </w:tc>
        <w:tc>
          <w:tcPr>
            <w:tcW w:type="dxa" w:w="1800"/>
            <w:tcMar>
              <w:top w:type="dxa" w:w="80"/>
              <w:left w:type="dxa" w:w="120"/>
              <w:bottom w:type="dxa" w:w="80"/>
              <w:right w:type="dxa" w:w="120"/>
            </w:tcMar>
            <w:vAlign w:val="center"/>
          </w:tcPr>
          <w:p>
            <w:r>
              <w:rPr>
                <w:b w:val="false"/>
                <w:bCs w:val="false"/>
              </w:rPr>
              <w:t xml:space="preserve">1.161</w:t>
            </w:r>
          </w:p>
        </w:tc>
      </w:tr>
    </w:tbl>
    <w:p>
      <w:pPr>
        <w:spacing w:after="160" w:before="200"/>
      </w:pPr>
    </w:p>
    <w:p>
      <w:pPr>
        <w:spacing w:after="160"/>
      </w:pPr>
      <w:r>
        <w:t xml:space="preserve">Random Forest performed best, though its training R² (0.800) was noticeably higher than its test R² (0.517), indicating some overfitting. Decision Tree showed a larger gap in the same direction, while Gradient Boosting underperformed on both training and test sets. The linear models performed similarly to one another, consistent with the weak individual correlations found earlier.</w:t>
      </w:r>
    </w:p>
    <w:p>
      <w:pPr>
        <w:spacing w:after="160"/>
      </w:pPr>
      <w:r>
        <w:t xml:space="preserve">Random Forest's feature importances (MW 0.29, TPSA 0.28, LogP 0.23, RotBonds 0.08, HBA 0.07, HBD 0.05) showed that LogP contributed more to the model than its low individual correlation would suggest, most likely through interactions with other descriptors.</w:t>
      </w:r>
    </w:p>
    <w:p>
      <w:pPr>
        <w:pStyle w:val="Heading2"/>
        <w:spacing w:after="120" w:before="300"/>
      </w:pPr>
      <w:r>
        <w:rPr>
          <w:b/>
          <w:bCs/>
          <w:color w:val="0A4D47"/>
        </w:rPr>
        <w:t xml:space="preserve">Discussion</w:t>
      </w:r>
    </w:p>
    <w:p>
      <w:pPr>
        <w:spacing w:after="160"/>
      </w:pPr>
      <w:r>
        <w:t xml:space="preserve">None of the six models included any information about the target protein — they were trained only on properties of the molecule. Given how strongly protein identity was associated with pKi in the Kruskal-Wallis test, this is a likely explanation for why even the best model only reached R² = 0.517. A model built on ligand descriptors alone appears to have a natural ceiling when the target protein itself carries much of the signal.</w:t>
      </w:r>
    </w:p>
    <w:p>
      <w:pPr>
        <w:pStyle w:val="Heading2"/>
        <w:spacing w:after="120" w:before="300"/>
      </w:pPr>
      <w:r>
        <w:rPr>
          <w:b/>
          <w:bCs/>
          <w:color w:val="0A4D47"/>
        </w:rPr>
        <w:t xml:space="preserve">Conclusion</w:t>
      </w:r>
    </w:p>
    <w:p>
      <w:pPr>
        <w:spacing w:after="160"/>
      </w:pPr>
      <w:r>
        <w:t xml:space="preserve">This project shows that structural molecular descriptors carry some predictive signal for binding affinity, but not enough on their own to produce a highly accurate model. The strongest single finding was that protein identity affects binding affinity more than any individual molecular property tested. Incorporating protein-level features would be a natural next step for improving prediction accuracy.</w:t>
      </w:r>
    </w:p>
    <w:p>
      <w:pPr>
        <w:spacing w:after="160"/>
      </w:pPr>
      <w:r>
        <w:t xml:space="preserve">An interactive dashboard was also built to make these results explorable, including a live prediction tool based on the trained Random Forest model.</w:t>
      </w:r>
    </w:p>
    <w:p>
      <w:pPr>
        <w:pStyle w:val="Heading2"/>
        <w:spacing w:after="120" w:before="300"/>
      </w:pPr>
      <w:r>
        <w:rPr>
          <w:b/>
          <w:bCs/>
          <w:color w:val="0A4D47"/>
        </w:rPr>
        <w:t xml:space="preserve">GitHub Repository</w:t>
      </w:r>
    </w:p>
    <w:p>
      <w:pPr>
        <w:spacing w:after="160"/>
      </w:pPr>
      <w:r>
        <w:t xml:space="preserve">The complete project, including the notebook, cleaned dataset, and dashboard code, is available on </w:t>
      </w:r>
      <w:hyperlink w:history="1" r:id="rIdcnyradbcxdn6lndfbstsr">
        <w:r>
          <w:rPr>
            <w:rStyle w:val="Hyperlink"/>
            <w:color w:val="0A4D47"/>
            <w:u w:val="single"/>
          </w:rPr>
          <w:t xml:space="preserve">GitHub</w:t>
        </w:r>
      </w:hyperlink>
      <w:r>
        <w:t xml:space="preserve">.</w:t>
      </w:r>
    </w:p>
    <w:p>
      <w:pPr>
        <w:spacing w:after="160"/>
      </w:pPr>
      <w:r>
        <w:t xml:space="preserve">The interactive dashboard can be tried directly </w:t>
      </w:r>
      <w:hyperlink w:history="1" r:id="rId9o5h0uha1ohu-jgay4r6m">
        <w:r>
          <w:rPr>
            <w:rStyle w:val="Hyperlink"/>
            <w:color w:val="0A4D47"/>
            <w:u w:val="single"/>
          </w:rPr>
          <w:t xml:space="preserve">here</w:t>
        </w:r>
      </w:hyperlink>
      <w:r>
        <w:t xml:space="preserve">.</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nyradbcxdn6lndfbstsr" Type="http://schemas.openxmlformats.org/officeDocument/2006/relationships/hyperlink" Target="https://github.com/cekereklibeyza/protein-ilac-baglanma-afinitesi-tahmini" TargetMode="External"/><Relationship Id="rId9o5h0uha1ohu-jgay4r6m" Type="http://schemas.openxmlformats.org/officeDocument/2006/relationships/hyperlink" Target="https://protein-ilac-baglanma-afinitesi-tahmini.streamlit.app/" TargetMode="External"/><Relationship Id="rId7" Type="http://schemas.openxmlformats.org/officeDocument/2006/relationships/image" Target="media/af0d42c1bae3e4258f1668a06ac100ae23abe7a8.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2026-08-24T10:40:51.851Z</dcterms:created>
  <dcterms:modified xsi:type="dcterms:W3CDTF">2026-08-24T10:40:51.852Z</dcterms:modified>
</cp:coreProperties>
</file>

<file path=docProps/custom.xml><?xml version="1.0" encoding="utf-8"?>
<Properties xmlns="http://schemas.openxmlformats.org/officeDocument/2006/custom-properties" xmlns:vt="http://schemas.openxmlformats.org/officeDocument/2006/docPropsVTypes"/>
</file>